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83ee3d1e949e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22970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DR.FRANJO TUĐMAN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1.240.754,98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1.326.167,46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1.370.541,49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1.322.360,46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5.414,14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4.279,71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9.730,69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4.279,71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4.316,55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134.066,22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0,4</w:t>
            </w:r>
          </w:p>
        </w:tc>
      </w:tr>
    </w:tbl>
    <w:p>
      <w:pPr>
        <w:spacing w:before="0" w:after="0"/>
      </w:pPr>
    </w:p>
    <w:p>
      <w:r>
        <w:t xml:space="preserve">Ukupni rashodi poslovanja i rashodi za nabavu nefinancijske imovine iznose 1.332.091,15 eura, što je smanjenje od 3,1 %  u odnosu na prošlo izvještajno razdoblje ; a ukupni prihodi poslovanja iznose 1.331.581,60 eura, što je povećanje od 7,3 % u odnosu na prošlo izvještajno razdoblje.</w:t>
      </w:r>
    </w:p>
    <w:p>
      <w:r>
        <w:t xml:space="preserve">Usporedbom tekućih podatka s podacima za  isto razdoblje prošle proračunske godine vidljivo je da su ostvareni veći prihodi poslovanja, dok su rashodi poslovanja smanjeni. Razlog smanjenih rashoda poslovanja i rashoda za nabavu nefinancijske imovine u ovom izvještajnom razdoblju rezultat je novih načina knjiženja s obzirom na Pravilnik o računovodstvu i računskom planu, što je utjecalo i na promjene u financijskom izvještavanju. Tako je za isto prošlo izvještajno razdoblje knjiženo sedam plaća (za prosinac, siječanj, veljaču, ožujak, travanj, svibanj i lipanj), a za ovo izvještajno razdoblje šest plaća (za siječanj, veljaču i ožujak, travanj, svibanj i lipanj). Ukupni prihodi poslovanja povećani su u odnosu na isto prethodno razdoblje, prvenstveno zbog porasta osnovice za obračun plaća, te povećanje bruto sata rada pomoćnicima u nastavi.</w:t>
      </w:r>
    </w:p>
    <w:p>
      <w:r>
        <w:t xml:space="preserve">U navedenom izvještajnom razdoblju ostvaren je manjak prihoda i primitaka u iznosu od 509,55  eura. </w:t>
      </w:r>
    </w:p>
    <w:p>
      <w:r>
        <w:t xml:space="preserve">Preneseni manjak prihoda poslovanja iznosi 151.821,37 eura, tako da manjak prihoda i primitaka za pokriće u sljedećem razdoblju iznosi 152.330,92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64,5</w:t>
            </w:r>
          </w:p>
        </w:tc>
      </w:tr>
    </w:tbl>
    <w:p>
      <w:pPr>
        <w:spacing w:before="0" w:after="0"/>
      </w:pPr>
    </w:p>
    <w:p>
      <w:r>
        <w:t xml:space="preserve">Prihodi su smanjeni u odnosu na prošlo izvještajno razdoblje iz razloga što je Učenička zadruga ove godine sudjelovala na manje sajmova, te je ostvarena manja prodaja proizvoda Učeničke zadruge.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3.441,49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Do povećanja prihoda došlo je jer je plaćen dug za najam krova za solarne panele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18.806,36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29.344,20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156,0</w:t>
            </w:r>
          </w:p>
        </w:tc>
      </w:tr>
    </w:tbl>
    <w:p>
      <w:pPr>
        <w:spacing w:before="0" w:after="0"/>
      </w:pPr>
    </w:p>
    <w:p>
      <w:r>
        <w:t xml:space="preserve">Do povećanja plaćenih prekovremenih sati djelatnika došlo je zbog potrebe za većim brojem odrađenih zamjena uslijed povećanog broja djelatnika na bolovanju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3.934,02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151,6</w:t>
            </w:r>
          </w:p>
        </w:tc>
      </w:tr>
    </w:tbl>
    <w:p>
      <w:pPr>
        <w:spacing w:before="0" w:after="0"/>
      </w:pPr>
    </w:p>
    <w:p>
      <w:r>
        <w:t xml:space="preserve">Do povećanja je došlo zbog većeg broja djelatnika koji su ostvarili pravo na isplatu putnih troškova zbog pohađanja seminara i savjetovanja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174,5</w:t>
            </w:r>
          </w:p>
        </w:tc>
      </w:tr>
    </w:tbl>
    <w:p>
      <w:pPr>
        <w:spacing w:before="0" w:after="0"/>
      </w:pPr>
    </w:p>
    <w:p>
      <w:r>
        <w:t xml:space="preserve">Do povećanja je došlo zbog većeg broja djelatnika koji su prisustvovali seminarima i edukacijama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8.186,39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10.411,92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127,2</w:t>
            </w:r>
          </w:p>
        </w:tc>
      </w:tr>
    </w:tbl>
    <w:p>
      <w:pPr>
        <w:spacing w:before="0" w:after="0"/>
      </w:pPr>
    </w:p>
    <w:p>
      <w:r>
        <w:t xml:space="preserve">Do povećanja je došlo uslijed veće potrebe za sredstvima za čišćenje i za higijenu, te uslijed sve većeg porasta cijena istih na tržištu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213,0</w:t>
            </w:r>
          </w:p>
        </w:tc>
      </w:tr>
    </w:tbl>
    <w:p>
      <w:pPr>
        <w:spacing w:before="0" w:after="0"/>
      </w:pPr>
    </w:p>
    <w:p>
      <w:r>
        <w:t xml:space="preserve">Do povećanja je došlo uslijed nabave materijala potrebnih za održavanje školske zgrade, kao i postrojenja i opreme, kao i uslijed većih cijena nabave materijala i dijelova za održavanje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5.414,14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je u procesu prodaje školskih stanova, povećanje se odnosi na uplatu učešća od 15 % od cijene stana od strane kupaca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Školi je doniran stoj za čišćenje podova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je 0,00 eura jer su  obveze u Izvještaju nedospjele obveze, odnosno dospijeće im nije do 30.lipnja 2026. godine. Obveze za plaću za 06/2026 i obveze za materijalne režijske troškove za lipanj dospijevaju u srpnju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200.175,31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200.175,31 eura, a odnose se na obvezu isplate plaće prema zaposlenima za mjesec lipanj 2026.g. i materijalne rashode s obvezom plaćanja u srpnju 2026.godine, te obveze za povrat sredstava u proračun.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8f97872c024a7c" /></Relationships>
</file>