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705811c67c4782"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22970</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DR.FRANJO TUĐMAN</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1.086.703,50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1.240.754,98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1.078.978,77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1.370.541,49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129.786,51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960,80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445,4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960,80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4.279,71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445,4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134.066,22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Ukupni rashodi poslovanja i rashodi za nabavu nefinancijske imovine iznose 1.374.821,20 eura, što je povećanje od 27,0 % u odnosu na prošlo izvještajno razdoblje ; a ukupni prihodi poslovanja iznose 1.240.754,98 eura, što je povećanje od 14,2 % u odnosu na prošlo izvještajno razdoblje. Navedeno povećanje i prihoda i rashoda u najvećem dijelu rezultat  je povećanja osnovice za plaće djelatnika. 
Za navedeno razdoblje ostvaren je manjak prihoda u iznosu od -134.066,22 eura, te uz preneseni višak poslovanja iz prethodne 2024. godine u iznosu od 14.852,97 eura, u slijedeće obračunsko razdoblje prenosi se manjak prihoda za pokriće u iznosu od -119.213,25 eura. 
Škola je u navedenom obračunskom razdoblju ostvarila manjak prihoda poslovanja u iznosu od -134.066,22 eura  koji proizlazi iz modificiranog načela  nastanka događaja po kojem se rashodi priznaju na temelju nastanka poslovnog događaja neovisno o tome kada će biti plaćeni, a prihodi se priznaju u izvještajnom razdoblju u kojem su postali raspoloživi i pod uvjetom da se mogu izmjeriti. 
Prema članku 233. novog Pravilnika o proračunskom računovodstvu i računskom planu, podskupina računa 193 Kontinuirani rashodi budućih razdoblja ukida se. Kontinuirani rashodi budućih razdoblja prenose se na odgovarajuće račune razreda 3 Rashodi poslovanja s danom 1. siječnja 2025. Također, članak 160. novog Pravilnika propisuje da rashod za pomoći dane unutar općeg proračuna nastaje u trenutku nastanka obveze, te su škole na temelju primljenog rješenja dužne evidentirati Potraživanja za pomoći iz inozemstva i od subjekata unutar općeg proračuna na konto 163, te na konto 963 Obračunate pomoći iz inozemstva i od subjekata unutar općeg proračuna. Knjigovodstveno evidentiranje potraživanja ukazuje na još jednu važnu napomenu, a to je da se plaća za svaki mjesec treba evidentirati sa posljednjim danom mjeseca na koji se odnosi plaća.
Sukladno tome, školska ustanova je za izvještajno šestomjesečno razdoblje prikazala rashode za plaću za prosinac 2024., te plaće za siječanj, veljaču, ožujak, travanj, svibanj i lipanj 2025.godine (7 rashoda plaća), te šest prihoda za pokriće plaće - sredstva za plaću za prosinac 2024., siječanj, veljaču, ožujak, travanj i svibanj 2025. (6 prihoda). Prihod za pokrivanje plaće za lipanj 2025. će nadležno ministarstvo proslijediti u srpnju, na datum isplate plaće. Osnivač će za financiranje rashoda poslovanja za lipanj 2025.godine proslijediti sredstva u srpnju 2025.godine., i iz tih razloga ostvaren je  metodološki manjak.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977.551,83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1.079.020,27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110,4</w:t>
            </w:r>
          </w:p>
        </w:tc>
      </w:tr>
    </w:tbl>
    <w:p>
      <w:pPr>
        <w:spacing w:before="0" w:after="0"/>
      </w:pPr>
    </w:p>
    <w:p>
      <w:pPr>
        <w:jc w:val="both"/>
        <w:pStyle w:val="Normal"/>
        <w:spacing w:line="240" w:lineRule="auto"/>
      </w:pPr>
      <w:r>
        <w:rPr>
          <w:sz w:val="24"/>
          <w:rFonts w:ascii="Times New Roman" w:hAnsi="Times New Roman"/>
        </w:rPr>
        <w:t>Do povećanja prihoda je došlo zbog povećanja plaća uslijed povećanja osnovice za obračun plaća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7.022,34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10.375,94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147,8</w:t>
            </w:r>
          </w:p>
        </w:tc>
      </w:tr>
    </w:tbl>
    <w:p>
      <w:pPr>
        <w:spacing w:before="0" w:after="0"/>
      </w:pPr>
    </w:p>
    <w:p>
      <w:pPr>
        <w:jc w:val="both"/>
        <w:pStyle w:val="Normal"/>
        <w:spacing w:line="240" w:lineRule="auto"/>
      </w:pPr>
      <w:r>
        <w:rPr>
          <w:sz w:val="24"/>
          <w:rFonts w:ascii="Times New Roman" w:hAnsi="Times New Roman"/>
        </w:rPr>
        <w:t>U odnosu na isto izvještajno razdoblje iz 2024.godine, prihodi su porasli  uslijed većeg broja djece koja su korisnici usluge produženog boravka, te redovitijeg plaćanja računa od strane roditelja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505,00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774,50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153,4</w:t>
            </w:r>
          </w:p>
        </w:tc>
      </w:tr>
    </w:tbl>
    <w:p>
      <w:pPr>
        <w:spacing w:before="0" w:after="0"/>
      </w:pPr>
    </w:p>
    <w:p>
      <w:pPr>
        <w:jc w:val="both"/>
        <w:pStyle w:val="Normal"/>
        <w:spacing w:line="240" w:lineRule="auto"/>
      </w:pPr>
      <w:r>
        <w:rPr>
          <w:sz w:val="24"/>
          <w:rFonts w:ascii="Times New Roman" w:hAnsi="Times New Roman"/>
        </w:rPr>
        <w:t>Prihodi su povećani  u odnosu na prošlo izvještajno razdoblje za 53,4 %  zbog većeg broja prodanih proizvoda učeničke zadruge na sajmu povodom Valentinova.</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2.394,85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169,8</w:t>
            </w:r>
          </w:p>
        </w:tc>
      </w:tr>
    </w:tbl>
    <w:p>
      <w:pPr>
        <w:spacing w:before="0" w:after="0"/>
      </w:pPr>
    </w:p>
    <w:p>
      <w:pPr>
        <w:jc w:val="both"/>
        <w:pStyle w:val="Normal"/>
        <w:spacing w:line="240" w:lineRule="auto"/>
      </w:pPr>
      <w:r>
        <w:rPr>
          <w:sz w:val="24"/>
          <w:rFonts w:ascii="Times New Roman" w:hAnsi="Times New Roman"/>
        </w:rPr>
        <w:t>Prihodi su povećani uslijed većeg broja donacija od strane turističkih agencija za potrebe pokrivanja dnevnica učiteljima vezanih uz školske izlete i ekskurzije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96.569,26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141.306,62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146,3</w:t>
            </w:r>
          </w:p>
        </w:tc>
      </w:tr>
    </w:tbl>
    <w:p>
      <w:pPr>
        <w:spacing w:before="0" w:after="0"/>
      </w:pPr>
    </w:p>
    <w:p>
      <w:pPr>
        <w:jc w:val="both"/>
        <w:pStyle w:val="Normal"/>
        <w:spacing w:line="240" w:lineRule="auto"/>
      </w:pPr>
      <w:r>
        <w:rPr>
          <w:sz w:val="24"/>
          <w:rFonts w:ascii="Times New Roman" w:hAnsi="Times New Roman"/>
        </w:rPr>
        <w:t>Prihodi su povećani u odnosu na prošlo izvještajno razdoblje za 46,3 % zbog povećanje satnice pomoćnicima u nastavi kroz projekt Učimo zajedno, pa samim time i većim troškovima za plaću pomoćnika.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743.766,20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956.483,66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128,6</w:t>
            </w:r>
          </w:p>
        </w:tc>
      </w:tr>
    </w:tbl>
    <w:p>
      <w:pPr>
        <w:spacing w:before="0" w:after="0"/>
      </w:pPr>
    </w:p>
    <w:p>
      <w:pPr>
        <w:jc w:val="both"/>
        <w:pStyle w:val="Normal"/>
        <w:spacing w:line="240" w:lineRule="auto"/>
      </w:pPr>
      <w:r>
        <w:rPr>
          <w:sz w:val="24"/>
          <w:rFonts w:ascii="Times New Roman" w:hAnsi="Times New Roman"/>
        </w:rPr>
        <w:t>Iznos je povećan zbog rasta osnovice za obračun plaća, kao i zbog novog načina knjiženja plaća uslijed ukidanja podskupine 193 Kontinuirani rashodi budućih razdoblja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troškova zaposlenima (šifre 3211 do 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27.264,45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37.233,62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136,6</w:t>
            </w:r>
          </w:p>
        </w:tc>
      </w:tr>
    </w:tbl>
    <w:p>
      <w:pPr>
        <w:spacing w:before="0" w:after="0"/>
      </w:pPr>
    </w:p>
    <w:p>
      <w:pPr>
        <w:jc w:val="both"/>
        <w:pStyle w:val="Normal"/>
        <w:spacing w:line="240" w:lineRule="auto"/>
      </w:pPr>
      <w:r>
        <w:rPr>
          <w:sz w:val="24"/>
          <w:rFonts w:ascii="Times New Roman" w:hAnsi="Times New Roman"/>
        </w:rPr>
        <w:t>Rashodi su povećani zbog većeg broja djelatnika koji ostvaruju pravo na isplatu naknade za prijevoz na posao i s posla u ovom izvještajnom razdoblju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Stručno usavršavanje zaposlenika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182,00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429,90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236,2</w:t>
            </w:r>
          </w:p>
        </w:tc>
      </w:tr>
    </w:tbl>
    <w:p>
      <w:pPr>
        <w:spacing w:before="0" w:after="0"/>
      </w:pPr>
    </w:p>
    <w:p>
      <w:pPr>
        <w:jc w:val="both"/>
        <w:pStyle w:val="Normal"/>
        <w:spacing w:line="240" w:lineRule="auto"/>
      </w:pPr>
      <w:r>
        <w:rPr>
          <w:sz w:val="24"/>
          <w:rFonts w:ascii="Times New Roman" w:hAnsi="Times New Roman"/>
        </w:rPr>
        <w:t>Povećanje se odnosi na polaganje tečajeva za pružanje prve pomoći koje je pohađalo šestero djelatnika škole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4.610,00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8.186,39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177,6</w:t>
            </w:r>
          </w:p>
        </w:tc>
      </w:tr>
    </w:tbl>
    <w:p>
      <w:pPr>
        <w:spacing w:before="0" w:after="0"/>
      </w:pPr>
    </w:p>
    <w:p>
      <w:pPr>
        <w:jc w:val="both"/>
        <w:pStyle w:val="Normal"/>
        <w:spacing w:line="240" w:lineRule="auto"/>
      </w:pPr>
      <w:r>
        <w:rPr>
          <w:sz w:val="24"/>
          <w:rFonts w:ascii="Times New Roman" w:hAnsi="Times New Roman"/>
        </w:rPr>
        <w:t>Do povećanja rashoda je došlo uslijed nabave psihodijagnostičkih sredstava za potrebe rada psihologa škole</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3.315,79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5.427,54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163,7</w:t>
            </w:r>
          </w:p>
        </w:tc>
      </w:tr>
    </w:tbl>
    <w:p>
      <w:pPr>
        <w:spacing w:before="0" w:after="0"/>
      </w:pPr>
    </w:p>
    <w:p>
      <w:pPr>
        <w:jc w:val="both"/>
        <w:pStyle w:val="Normal"/>
        <w:spacing w:line="240" w:lineRule="auto"/>
      </w:pPr>
      <w:r>
        <w:rPr>
          <w:sz w:val="24"/>
          <w:rFonts w:ascii="Times New Roman" w:hAnsi="Times New Roman"/>
        </w:rPr>
        <w:t>Rashodi su povećani zbog zamjene starih zastora novima u školskim učionicama i uredima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246,64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4.708,64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1909,1</w:t>
            </w:r>
          </w:p>
        </w:tc>
      </w:tr>
    </w:tbl>
    <w:p>
      <w:pPr>
        <w:spacing w:before="0" w:after="0"/>
      </w:pPr>
    </w:p>
    <w:p>
      <w:pPr>
        <w:jc w:val="both"/>
        <w:pStyle w:val="Normal"/>
        <w:spacing w:line="240" w:lineRule="auto"/>
      </w:pPr>
      <w:r>
        <w:rPr>
          <w:sz w:val="24"/>
          <w:rFonts w:ascii="Times New Roman" w:hAnsi="Times New Roman"/>
        </w:rPr>
        <w:t>Do povećanja rashoda je došlo iz razloga što su se ove godine sistematski pregledi djelatnika obavljali u proljeće, dok su se prošle godine obavljali u jesen</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2.721,50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206,8</w:t>
            </w:r>
          </w:p>
        </w:tc>
      </w:tr>
    </w:tbl>
    <w:p>
      <w:pPr>
        <w:spacing w:before="0" w:after="0"/>
      </w:pPr>
    </w:p>
    <w:p>
      <w:pPr>
        <w:jc w:val="both"/>
        <w:pStyle w:val="Normal"/>
        <w:spacing w:line="240" w:lineRule="auto"/>
      </w:pPr>
      <w:r>
        <w:rPr>
          <w:sz w:val="24"/>
          <w:rFonts w:ascii="Times New Roman" w:hAnsi="Times New Roman"/>
        </w:rPr>
        <w:t>Do povećanja rashoda je došlo zbog većeg mjesečnog iznosa kojim se plaća naknada za nezapošljavanje invalida u odnosu na prošlo izvještajno razdoblje</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2.250,31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165.432,75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7351,6</w:t>
            </w:r>
          </w:p>
        </w:tc>
      </w:tr>
    </w:tbl>
    <w:p>
      <w:pPr>
        <w:spacing w:before="0" w:after="0"/>
      </w:pPr>
    </w:p>
    <w:p>
      <w:pPr>
        <w:jc w:val="both"/>
        <w:pStyle w:val="Normal"/>
        <w:spacing w:line="240" w:lineRule="auto"/>
      </w:pPr>
      <w:r>
        <w:rPr>
          <w:sz w:val="24"/>
          <w:rFonts w:ascii="Times New Roman" w:hAnsi="Times New Roman"/>
        </w:rPr>
        <w:t>Obračunati prihodi poslovanja  - nenaplaćeni – temeljem novog Pravilnika o proračunskom računovodstvu i računskom planu, škola je dužna svako dobivanje pomoći evidentirati na konta 163 Potraživanja za pomoći iz inozemstva i subjekata unutar općeg proračuna i na konto 963 Obračunate pomoći iz inozemstva i od subjekata unutar općeg proračuna. Iznos na kontu 96 odnosi se na plaću za lipanj, a navedeno će se na dan isplate plaće u srpnju  priznati, i zatvoriti </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960,80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445,4</w:t>
            </w:r>
          </w:p>
        </w:tc>
      </w:tr>
    </w:tbl>
    <w:p>
      <w:pPr>
        <w:spacing w:before="0" w:after="0"/>
      </w:pPr>
    </w:p>
    <w:p>
      <w:pPr>
        <w:jc w:val="both"/>
        <w:pStyle w:val="Normal"/>
        <w:spacing w:line="240" w:lineRule="auto"/>
      </w:pPr>
      <w:r>
        <w:rPr>
          <w:sz w:val="24"/>
          <w:rFonts w:ascii="Times New Roman" w:hAnsi="Times New Roman"/>
        </w:rPr>
        <w:t>Do povećanja je došlo zbog donacije računala za Posebne odjele, kao i  zbog ugradnje sustava kontrole prolaza na glavnim vratima škole</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obveza na kraju izvještajnog razdoblja (šifre V001+V002-V004) i (šifre V007+V009)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177.879,04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kraju izvještajnog razdoblja iznosi 177.879,04 eura, a odnose se na obvezu isplate plaće prema zaposlenima za mjesec lipanj 2024.g. i materijalne rashode s obvezom plaćanja u srpnju 2025.godine, te obveze za povrat sredstava u proračun.</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na kraju izvještajnog razdoblja je 0,00 eura jer su  obveze u Izvještaju nedospjele obveze, odnosno dospijeće im nije do 30.lipnja 2025. godine. Obveze za plaću za 06/2025 i obveze za materijalne režijske troškove dospijevaju u srpnju 2025.</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rashode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ND23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172.365,66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Odnose se na obveze za plaću za djelatnike za 06/2025 u iznosu od 154.758,12 eura, plaću za 06/2025 za pomoćnike u nastavi u iznosu od 7.779,88 eura, na plaću za 06/2025 za učiteljice u produženom boravku u iznosu od 3.461,11 eura, te na obveze za materijalne rashode (režijski troškovi) u iznosu od 6.366,55 eura koji će se podmiriti u srpnju 2025.</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7bd6c37531d0427e" /></Relationships>
</file>